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2D34" w:rsidRDefault="00C14BC6" w:rsidP="00A02D34">
      <w:pPr>
        <w:snapToGrid w:val="0"/>
        <w:spacing w:line="276" w:lineRule="auto"/>
        <w:jc w:val="both"/>
        <w:rPr>
          <w:rFonts w:ascii="Tahoma" w:eastAsia="Times New Roman" w:hAnsi="Tahoma" w:cs="Tahoma"/>
          <w:sz w:val="21"/>
          <w:szCs w:val="21"/>
          <w:lang w:eastAsia="it-IT"/>
        </w:rPr>
      </w:pPr>
      <w:r w:rsidRPr="00C14BC6">
        <w:rPr>
          <w:rFonts w:ascii="Tahoma" w:eastAsia="Times New Roman" w:hAnsi="Tahoma" w:cs="Tahoma"/>
          <w:sz w:val="21"/>
          <w:szCs w:val="21"/>
          <w:lang w:eastAsia="it-IT"/>
        </w:rPr>
        <w:t>P</w:t>
      </w:r>
      <w:r w:rsidRPr="00C14BC6">
        <w:rPr>
          <w:rFonts w:ascii="Tahoma" w:eastAsia="Times New Roman" w:hAnsi="Tahoma" w:cs="Tahoma"/>
          <w:sz w:val="21"/>
          <w:szCs w:val="21"/>
          <w:lang w:eastAsia="it-IT"/>
        </w:rPr>
        <w:t>er dar seguito ed estendere a tutto il territorio nazionale </w:t>
      </w:r>
      <w:r w:rsidRPr="00C14BC6">
        <w:rPr>
          <w:rFonts w:ascii="Tahoma" w:eastAsia="Times New Roman" w:hAnsi="Tahoma" w:cs="Tahoma"/>
          <w:b/>
          <w:bCs/>
          <w:sz w:val="21"/>
          <w:szCs w:val="21"/>
          <w:lang w:eastAsia="it-IT"/>
        </w:rPr>
        <w:t>l’iniziativa avviata dalla “cordata ligure”</w:t>
      </w:r>
      <w:r w:rsidRPr="00C14BC6">
        <w:rPr>
          <w:rFonts w:ascii="Tahoma" w:eastAsia="Times New Roman" w:hAnsi="Tahoma" w:cs="Tahoma"/>
          <w:sz w:val="21"/>
          <w:szCs w:val="21"/>
          <w:lang w:eastAsia="it-IT"/>
        </w:rPr>
        <w:t>,</w:t>
      </w:r>
      <w:r w:rsidRPr="00C14BC6">
        <w:rPr>
          <w:rFonts w:ascii="Tahoma" w:eastAsia="Times New Roman" w:hAnsi="Tahoma" w:cs="Tahoma"/>
          <w:sz w:val="21"/>
          <w:szCs w:val="21"/>
          <w:lang w:eastAsia="it-IT"/>
        </w:rPr>
        <w:t xml:space="preserve"> A</w:t>
      </w:r>
      <w:proofErr w:type="spellStart"/>
      <w:r w:rsidRPr="00C14BC6">
        <w:rPr>
          <w:rFonts w:ascii="Tahoma" w:eastAsia="Times New Roman" w:hAnsi="Tahoma" w:cs="Tahoma"/>
          <w:sz w:val="21"/>
          <w:szCs w:val="21"/>
          <w:lang w:eastAsia="it-IT"/>
        </w:rPr>
        <w:t>ssoverde</w:t>
      </w:r>
      <w:proofErr w:type="spellEnd"/>
      <w:r w:rsidRPr="00C14BC6">
        <w:rPr>
          <w:rFonts w:ascii="Tahoma" w:eastAsia="Times New Roman" w:hAnsi="Tahoma" w:cs="Tahoma"/>
          <w:sz w:val="21"/>
          <w:szCs w:val="21"/>
          <w:lang w:eastAsia="it-IT"/>
        </w:rPr>
        <w:t xml:space="preserve"> consente a tutti coloro che intendano sottoscriverne i contenuti di poterlo fare inoltrando </w:t>
      </w:r>
      <w:r w:rsidRPr="00C14BC6">
        <w:rPr>
          <w:rFonts w:ascii="Tahoma" w:eastAsia="Times New Roman" w:hAnsi="Tahoma" w:cs="Tahoma"/>
          <w:sz w:val="21"/>
          <w:szCs w:val="21"/>
          <w:lang w:eastAsia="it-IT"/>
        </w:rPr>
        <w:t>questo modulo</w:t>
      </w:r>
      <w:r w:rsidRPr="00C14BC6">
        <w:rPr>
          <w:rFonts w:ascii="Tahoma" w:eastAsia="Times New Roman" w:hAnsi="Tahoma" w:cs="Tahoma"/>
          <w:sz w:val="21"/>
          <w:szCs w:val="21"/>
          <w:lang w:eastAsia="it-IT"/>
        </w:rPr>
        <w:t xml:space="preserve"> all’indirizzo </w:t>
      </w:r>
      <w:hyperlink r:id="rId7" w:tgtFrame="_blank" w:history="1">
        <w:r w:rsidRPr="00C14BC6">
          <w:rPr>
            <w:rFonts w:ascii="Tahoma" w:eastAsia="Times New Roman" w:hAnsi="Tahoma" w:cs="Tahoma"/>
            <w:color w:val="800080"/>
            <w:sz w:val="21"/>
            <w:szCs w:val="21"/>
            <w:u w:val="single"/>
            <w:lang w:eastAsia="it-IT"/>
          </w:rPr>
          <w:t>posta@assoverde.it</w:t>
        </w:r>
      </w:hyperlink>
      <w:r w:rsidRPr="00C14BC6">
        <w:rPr>
          <w:rFonts w:ascii="Tahoma" w:eastAsia="Times New Roman" w:hAnsi="Tahoma" w:cs="Tahoma"/>
          <w:sz w:val="21"/>
          <w:szCs w:val="21"/>
          <w:lang w:eastAsia="it-IT"/>
        </w:rPr>
        <w:t>, </w:t>
      </w:r>
      <w:r w:rsidRPr="00C14BC6">
        <w:rPr>
          <w:rFonts w:ascii="Tahoma" w:eastAsia="Times New Roman" w:hAnsi="Tahoma" w:cs="Tahoma"/>
          <w:b/>
          <w:bCs/>
          <w:sz w:val="21"/>
          <w:szCs w:val="21"/>
          <w:lang w:eastAsia="it-IT"/>
        </w:rPr>
        <w:t>una volta compilat</w:t>
      </w:r>
      <w:r w:rsidRPr="00C14BC6">
        <w:rPr>
          <w:rFonts w:ascii="Tahoma" w:eastAsia="Times New Roman" w:hAnsi="Tahoma" w:cs="Tahoma"/>
          <w:b/>
          <w:bCs/>
          <w:sz w:val="21"/>
          <w:szCs w:val="21"/>
          <w:lang w:eastAsia="it-IT"/>
        </w:rPr>
        <w:t>o</w:t>
      </w:r>
      <w:r w:rsidRPr="00C14BC6">
        <w:rPr>
          <w:rFonts w:ascii="Tahoma" w:eastAsia="Times New Roman" w:hAnsi="Tahoma" w:cs="Tahoma"/>
          <w:b/>
          <w:bCs/>
          <w:sz w:val="21"/>
          <w:szCs w:val="21"/>
          <w:lang w:eastAsia="it-IT"/>
        </w:rPr>
        <w:t xml:space="preserve"> la tabella in basso, con i seguenti dati:</w:t>
      </w:r>
      <w:r w:rsidRPr="00C14BC6">
        <w:rPr>
          <w:rFonts w:ascii="Tahoma" w:eastAsia="Times New Roman" w:hAnsi="Tahoma" w:cs="Tahoma"/>
          <w:b/>
          <w:bCs/>
          <w:sz w:val="21"/>
          <w:szCs w:val="21"/>
          <w:lang w:eastAsia="it-IT"/>
        </w:rPr>
        <w:t xml:space="preserve"> </w:t>
      </w:r>
      <w:r w:rsidRPr="00C14BC6">
        <w:rPr>
          <w:rFonts w:ascii="Tahoma" w:eastAsia="Times New Roman" w:hAnsi="Tahoma" w:cs="Tahoma"/>
          <w:sz w:val="21"/>
          <w:szCs w:val="21"/>
          <w:lang w:eastAsia="it-IT"/>
        </w:rPr>
        <w:t>nome e cognome, ragione sociale, comune, provincia, indirizzo mail, numero del documento d’identità.</w:t>
      </w:r>
      <w:r w:rsidR="00A02D34">
        <w:rPr>
          <w:rFonts w:ascii="Tahoma" w:eastAsia="Times New Roman" w:hAnsi="Tahoma" w:cs="Tahoma"/>
          <w:sz w:val="21"/>
          <w:szCs w:val="21"/>
          <w:lang w:eastAsia="it-IT"/>
        </w:rPr>
        <w:t xml:space="preserve"> </w:t>
      </w:r>
    </w:p>
    <w:p w:rsidR="00C14BC6" w:rsidRPr="00C14BC6" w:rsidRDefault="00C14BC6" w:rsidP="00A02D34">
      <w:pPr>
        <w:snapToGrid w:val="0"/>
        <w:spacing w:line="276" w:lineRule="auto"/>
        <w:jc w:val="both"/>
        <w:rPr>
          <w:rFonts w:ascii="Tahoma" w:eastAsia="Times New Roman" w:hAnsi="Tahoma" w:cs="Tahoma"/>
          <w:sz w:val="21"/>
          <w:szCs w:val="21"/>
          <w:lang w:eastAsia="it-IT"/>
        </w:rPr>
      </w:pPr>
      <w:r w:rsidRPr="00C14BC6">
        <w:rPr>
          <w:rFonts w:ascii="Tahoma" w:eastAsia="Times New Roman" w:hAnsi="Tahoma" w:cs="Tahoma"/>
          <w:sz w:val="21"/>
          <w:szCs w:val="21"/>
          <w:lang w:eastAsia="it-IT"/>
        </w:rPr>
        <w:t>Si evidenzia che </w:t>
      </w:r>
      <w:r w:rsidRPr="00C14BC6">
        <w:rPr>
          <w:rFonts w:ascii="Tahoma" w:eastAsia="Times New Roman" w:hAnsi="Tahoma" w:cs="Tahoma"/>
          <w:b/>
          <w:bCs/>
          <w:sz w:val="21"/>
          <w:szCs w:val="21"/>
          <w:lang w:eastAsia="it-IT"/>
        </w:rPr>
        <w:t xml:space="preserve">la sottoscrizione autorizza </w:t>
      </w:r>
      <w:proofErr w:type="spellStart"/>
      <w:r w:rsidRPr="00C14BC6">
        <w:rPr>
          <w:rFonts w:ascii="Tahoma" w:eastAsia="Times New Roman" w:hAnsi="Tahoma" w:cs="Tahoma"/>
          <w:b/>
          <w:bCs/>
          <w:sz w:val="21"/>
          <w:szCs w:val="21"/>
          <w:lang w:eastAsia="it-IT"/>
        </w:rPr>
        <w:t>Assoverde</w:t>
      </w:r>
      <w:proofErr w:type="spellEnd"/>
      <w:r w:rsidRPr="00C14BC6">
        <w:rPr>
          <w:rFonts w:ascii="Tahoma" w:eastAsia="Times New Roman" w:hAnsi="Tahoma" w:cs="Tahoma"/>
          <w:b/>
          <w:bCs/>
          <w:sz w:val="21"/>
          <w:szCs w:val="21"/>
          <w:lang w:eastAsia="it-IT"/>
        </w:rPr>
        <w:t xml:space="preserve"> all’utilizzo dei dati personali forniti dal sottoscrittore</w:t>
      </w:r>
      <w:r w:rsidRPr="00C14BC6">
        <w:rPr>
          <w:rFonts w:ascii="Tahoma" w:eastAsia="Times New Roman" w:hAnsi="Tahoma" w:cs="Tahoma"/>
          <w:sz w:val="21"/>
          <w:szCs w:val="21"/>
          <w:lang w:eastAsia="it-IT"/>
        </w:rPr>
        <w:t>.</w:t>
      </w:r>
    </w:p>
    <w:p w:rsidR="00C14BC6" w:rsidRPr="00C14BC6" w:rsidRDefault="00C14BC6" w:rsidP="00A02D34">
      <w:pPr>
        <w:snapToGrid w:val="0"/>
        <w:spacing w:line="276" w:lineRule="auto"/>
        <w:jc w:val="both"/>
        <w:rPr>
          <w:rFonts w:ascii="Tahoma" w:eastAsia="Times New Roman" w:hAnsi="Tahoma" w:cs="Tahoma"/>
          <w:sz w:val="21"/>
          <w:szCs w:val="21"/>
          <w:lang w:eastAsia="it-IT"/>
        </w:rPr>
      </w:pPr>
      <w:r w:rsidRPr="00C14BC6">
        <w:rPr>
          <w:rFonts w:ascii="Tahoma" w:eastAsia="Times New Roman" w:hAnsi="Tahoma" w:cs="Tahoma"/>
          <w:sz w:val="21"/>
          <w:szCs w:val="21"/>
          <w:lang w:eastAsia="it-IT"/>
        </w:rPr>
        <w:t xml:space="preserve">L’iniziativa è </w:t>
      </w:r>
      <w:r w:rsidRPr="00C14BC6">
        <w:rPr>
          <w:rFonts w:ascii="Tahoma" w:eastAsia="Times New Roman" w:hAnsi="Tahoma" w:cs="Tahoma"/>
          <w:b/>
          <w:bCs/>
          <w:sz w:val="21"/>
          <w:szCs w:val="21"/>
          <w:lang w:eastAsia="it-IT"/>
        </w:rPr>
        <w:t>aperta a tutti gli operatori del verde</w:t>
      </w:r>
      <w:r w:rsidRPr="00C14BC6">
        <w:rPr>
          <w:rFonts w:ascii="Tahoma" w:eastAsia="Times New Roman" w:hAnsi="Tahoma" w:cs="Tahoma"/>
          <w:sz w:val="21"/>
          <w:szCs w:val="21"/>
          <w:lang w:eastAsia="it-IT"/>
        </w:rPr>
        <w:t xml:space="preserve">, anche non iscritti ad </w:t>
      </w:r>
      <w:proofErr w:type="spellStart"/>
      <w:r w:rsidRPr="00C14BC6">
        <w:rPr>
          <w:rFonts w:ascii="Tahoma" w:eastAsia="Times New Roman" w:hAnsi="Tahoma" w:cs="Tahoma"/>
          <w:sz w:val="21"/>
          <w:szCs w:val="21"/>
          <w:lang w:eastAsia="it-IT"/>
        </w:rPr>
        <w:t>Assoverde</w:t>
      </w:r>
      <w:proofErr w:type="spellEnd"/>
      <w:r w:rsidRPr="00C14BC6">
        <w:rPr>
          <w:rFonts w:ascii="Tahoma" w:eastAsia="Times New Roman" w:hAnsi="Tahoma" w:cs="Tahoma"/>
          <w:sz w:val="21"/>
          <w:szCs w:val="21"/>
          <w:lang w:eastAsia="it-IT"/>
        </w:rPr>
        <w:t>. </w:t>
      </w:r>
    </w:p>
    <w:p w:rsidR="00C14BC6" w:rsidRPr="00C14BC6" w:rsidRDefault="00C14BC6" w:rsidP="00C14BC6">
      <w:pPr>
        <w:snapToGrid w:val="0"/>
        <w:spacing w:after="120" w:line="276" w:lineRule="auto"/>
        <w:jc w:val="both"/>
        <w:rPr>
          <w:rFonts w:ascii="Tahoma" w:eastAsia="Times New Roman" w:hAnsi="Tahoma" w:cs="Tahoma"/>
          <w:sz w:val="21"/>
          <w:szCs w:val="21"/>
          <w:lang w:eastAsia="it-IT"/>
        </w:rPr>
      </w:pPr>
      <w:r w:rsidRPr="00C14BC6">
        <w:rPr>
          <w:rFonts w:ascii="Tahoma" w:eastAsia="Times New Roman" w:hAnsi="Tahoma" w:cs="Tahoma"/>
          <w:sz w:val="21"/>
          <w:szCs w:val="21"/>
          <w:lang w:eastAsia="it-IT"/>
        </w:rPr>
        <w:t xml:space="preserve">Le sottoscrizioni dovranno pervenire ad </w:t>
      </w:r>
      <w:proofErr w:type="spellStart"/>
      <w:r w:rsidRPr="00C14BC6">
        <w:rPr>
          <w:rFonts w:ascii="Tahoma" w:eastAsia="Times New Roman" w:hAnsi="Tahoma" w:cs="Tahoma"/>
          <w:sz w:val="21"/>
          <w:szCs w:val="21"/>
          <w:lang w:eastAsia="it-IT"/>
        </w:rPr>
        <w:t>Assoverde</w:t>
      </w:r>
      <w:proofErr w:type="spellEnd"/>
      <w:r w:rsidRPr="00C14BC6">
        <w:rPr>
          <w:rFonts w:ascii="Tahoma" w:eastAsia="Times New Roman" w:hAnsi="Tahoma" w:cs="Tahoma"/>
          <w:sz w:val="21"/>
          <w:szCs w:val="21"/>
          <w:lang w:eastAsia="it-IT"/>
        </w:rPr>
        <w:t> </w:t>
      </w:r>
      <w:r w:rsidRPr="00C14BC6">
        <w:rPr>
          <w:rFonts w:ascii="Tahoma" w:eastAsia="Times New Roman" w:hAnsi="Tahoma" w:cs="Tahoma"/>
          <w:b/>
          <w:bCs/>
          <w:sz w:val="21"/>
          <w:szCs w:val="21"/>
          <w:u w:val="single"/>
          <w:lang w:eastAsia="it-IT"/>
        </w:rPr>
        <w:t>entro le ore 12,00 del 3 aprile 2020</w:t>
      </w:r>
      <w:r w:rsidRPr="00C14BC6">
        <w:rPr>
          <w:rFonts w:ascii="Tahoma" w:eastAsia="Times New Roman" w:hAnsi="Tahoma" w:cs="Tahoma"/>
          <w:sz w:val="21"/>
          <w:szCs w:val="21"/>
          <w:lang w:eastAsia="it-IT"/>
        </w:rPr>
        <w:t>, in modo da consentirne l’organizzazione all’interno di un documento unico che sarà inoltrato agli organi competenti.    </w:t>
      </w:r>
    </w:p>
    <w:p w:rsidR="00C14BC6" w:rsidRPr="00C14BC6" w:rsidRDefault="00C14BC6" w:rsidP="00A02D34">
      <w:pPr>
        <w:snapToGrid w:val="0"/>
        <w:spacing w:after="60" w:line="276" w:lineRule="auto"/>
        <w:jc w:val="both"/>
        <w:rPr>
          <w:rFonts w:ascii="Tahoma" w:eastAsia="Times New Roman" w:hAnsi="Tahoma" w:cs="Tahoma"/>
          <w:sz w:val="21"/>
          <w:szCs w:val="21"/>
          <w:lang w:eastAsia="it-IT"/>
        </w:rPr>
      </w:pPr>
      <w:r w:rsidRPr="00C14BC6">
        <w:rPr>
          <w:rFonts w:ascii="Tahoma" w:eastAsia="Times New Roman" w:hAnsi="Tahoma" w:cs="Tahoma"/>
          <w:sz w:val="21"/>
          <w:szCs w:val="21"/>
          <w:lang w:eastAsia="it-IT"/>
        </w:rPr>
        <w:t>I contenuti, di cui si conferma la condivisione attraverso la sottoscrizione della presente comunicazione, sono i seguenti:  </w:t>
      </w:r>
    </w:p>
    <w:p w:rsidR="00C14BC6" w:rsidRPr="00C14BC6" w:rsidRDefault="00C14BC6" w:rsidP="00A02D34">
      <w:pPr>
        <w:pStyle w:val="Paragrafoelenco"/>
        <w:numPr>
          <w:ilvl w:val="0"/>
          <w:numId w:val="3"/>
        </w:numPr>
        <w:snapToGrid w:val="0"/>
        <w:spacing w:after="60" w:line="276" w:lineRule="auto"/>
        <w:ind w:left="567" w:hanging="357"/>
        <w:contextualSpacing w:val="0"/>
        <w:jc w:val="both"/>
        <w:rPr>
          <w:rFonts w:ascii="Tahoma" w:eastAsia="Times New Roman" w:hAnsi="Tahoma" w:cs="Tahoma"/>
          <w:sz w:val="21"/>
          <w:szCs w:val="21"/>
          <w:lang w:eastAsia="it-IT"/>
        </w:rPr>
      </w:pPr>
      <w:r w:rsidRPr="00C14BC6">
        <w:rPr>
          <w:rFonts w:ascii="Tahoma" w:eastAsia="Times New Roman" w:hAnsi="Tahoma" w:cs="Tahoma"/>
          <w:sz w:val="21"/>
          <w:szCs w:val="21"/>
          <w:lang w:eastAsia="it-IT"/>
        </w:rPr>
        <w:t xml:space="preserve">Il lavoro del manutentore del verde - di cui al codice </w:t>
      </w:r>
      <w:proofErr w:type="spellStart"/>
      <w:r w:rsidRPr="00C14BC6">
        <w:rPr>
          <w:rFonts w:ascii="Tahoma" w:eastAsia="Times New Roman" w:hAnsi="Tahoma" w:cs="Tahoma"/>
          <w:sz w:val="21"/>
          <w:szCs w:val="21"/>
          <w:lang w:eastAsia="it-IT"/>
        </w:rPr>
        <w:t>Ateco</w:t>
      </w:r>
      <w:proofErr w:type="spellEnd"/>
      <w:r w:rsidRPr="00C14BC6">
        <w:rPr>
          <w:rFonts w:ascii="Tahoma" w:eastAsia="Times New Roman" w:hAnsi="Tahoma" w:cs="Tahoma"/>
          <w:sz w:val="21"/>
          <w:szCs w:val="21"/>
          <w:lang w:eastAsia="it-IT"/>
        </w:rPr>
        <w:t xml:space="preserve"> 81.30 - viene normalmente svolto mantenendo distanze di gran lunga superiori a quelle imposte dal distanziamento sociale (10 metri e oltre): vuoi per la tipologia di comprensori in cui si opera oppure per la caratteristica delle imprese coinvolte, spesso società individuali o con ridottissimo numero di dipendenti.      </w:t>
      </w:r>
    </w:p>
    <w:p w:rsidR="00C14BC6" w:rsidRPr="00C14BC6" w:rsidRDefault="00C14BC6" w:rsidP="00A02D34">
      <w:pPr>
        <w:pStyle w:val="Paragrafoelenco"/>
        <w:numPr>
          <w:ilvl w:val="0"/>
          <w:numId w:val="3"/>
        </w:numPr>
        <w:snapToGrid w:val="0"/>
        <w:spacing w:after="60" w:line="276" w:lineRule="auto"/>
        <w:ind w:left="567" w:hanging="357"/>
        <w:contextualSpacing w:val="0"/>
        <w:jc w:val="both"/>
        <w:rPr>
          <w:rFonts w:ascii="Tahoma" w:eastAsia="Times New Roman" w:hAnsi="Tahoma" w:cs="Tahoma"/>
          <w:sz w:val="21"/>
          <w:szCs w:val="21"/>
          <w:lang w:eastAsia="it-IT"/>
        </w:rPr>
      </w:pPr>
      <w:r w:rsidRPr="00C14BC6">
        <w:rPr>
          <w:rFonts w:ascii="Tahoma" w:eastAsia="Times New Roman" w:hAnsi="Tahoma" w:cs="Tahoma"/>
          <w:sz w:val="21"/>
          <w:szCs w:val="21"/>
          <w:lang w:eastAsia="it-IT"/>
        </w:rPr>
        <w:t>In talune zone gli operatori del verde costituiscono un presidio sul territorio contro l’abbandono e il dissesto idrogeologico per tutti i possessori di fasce terrazzate, seconde o terze case, che spesso vedono in tale categoria un riferimento, specie in questo periodo di forzata e prolungata assenza.</w:t>
      </w:r>
    </w:p>
    <w:p w:rsidR="00C14BC6" w:rsidRPr="00C14BC6" w:rsidRDefault="00C14BC6" w:rsidP="00A02D34">
      <w:pPr>
        <w:pStyle w:val="Paragrafoelenco"/>
        <w:numPr>
          <w:ilvl w:val="0"/>
          <w:numId w:val="3"/>
        </w:numPr>
        <w:snapToGrid w:val="0"/>
        <w:spacing w:after="60" w:line="276" w:lineRule="auto"/>
        <w:ind w:left="567" w:hanging="357"/>
        <w:contextualSpacing w:val="0"/>
        <w:jc w:val="both"/>
        <w:rPr>
          <w:rFonts w:ascii="Tahoma" w:eastAsia="Times New Roman" w:hAnsi="Tahoma" w:cs="Tahoma"/>
          <w:sz w:val="21"/>
          <w:szCs w:val="21"/>
          <w:lang w:eastAsia="it-IT"/>
        </w:rPr>
      </w:pPr>
      <w:r w:rsidRPr="00C14BC6">
        <w:rPr>
          <w:rFonts w:ascii="Tahoma" w:eastAsia="Times New Roman" w:hAnsi="Tahoma" w:cs="Tahoma"/>
          <w:sz w:val="21"/>
          <w:szCs w:val="21"/>
          <w:lang w:eastAsia="it-IT"/>
        </w:rPr>
        <w:t>La possibilità di lavorare, eventualmente in unità singole, rispettando tutte le norme previste dal Protocollo del 14 marzo 2020, con orari ridotti e programmazione oculata dei dipendenti, consentirebbe di ridurre il ricorso a misure integrative, e di conseguenza l’impatto sulla finanza, liberando maggiori risorse per le categorie realmente impossibilitate a lavorare;</w:t>
      </w:r>
    </w:p>
    <w:p w:rsidR="00C14BC6" w:rsidRPr="00C14BC6" w:rsidRDefault="00C14BC6" w:rsidP="00A02D34">
      <w:pPr>
        <w:pStyle w:val="Paragrafoelenco"/>
        <w:numPr>
          <w:ilvl w:val="0"/>
          <w:numId w:val="3"/>
        </w:numPr>
        <w:snapToGrid w:val="0"/>
        <w:spacing w:after="60" w:line="276" w:lineRule="auto"/>
        <w:ind w:left="567" w:hanging="357"/>
        <w:contextualSpacing w:val="0"/>
        <w:jc w:val="both"/>
        <w:rPr>
          <w:rFonts w:ascii="Tahoma" w:eastAsia="Times New Roman" w:hAnsi="Tahoma" w:cs="Tahoma"/>
          <w:sz w:val="21"/>
          <w:szCs w:val="21"/>
          <w:lang w:eastAsia="it-IT"/>
        </w:rPr>
      </w:pPr>
      <w:r w:rsidRPr="00C14BC6">
        <w:rPr>
          <w:rFonts w:ascii="Tahoma" w:eastAsia="Times New Roman" w:hAnsi="Tahoma" w:cs="Tahoma"/>
          <w:sz w:val="21"/>
          <w:szCs w:val="21"/>
          <w:lang w:eastAsia="it-IT"/>
        </w:rPr>
        <w:t>Di contro, la sospensione delle attività in questo cruciale periodo della stagione porterebbe all'inevitabile definitiva chiusura di molte realtà lavorative, spesso composte da ditte individuali con risorse limitate;</w:t>
      </w:r>
    </w:p>
    <w:p w:rsidR="00C14BC6" w:rsidRPr="00C14BC6" w:rsidRDefault="00C14BC6" w:rsidP="00A02D34">
      <w:pPr>
        <w:pStyle w:val="Paragrafoelenco"/>
        <w:numPr>
          <w:ilvl w:val="0"/>
          <w:numId w:val="3"/>
        </w:numPr>
        <w:snapToGrid w:val="0"/>
        <w:spacing w:after="60" w:line="276" w:lineRule="auto"/>
        <w:ind w:left="567" w:hanging="357"/>
        <w:contextualSpacing w:val="0"/>
        <w:jc w:val="both"/>
        <w:rPr>
          <w:rFonts w:ascii="Tahoma" w:eastAsia="Times New Roman" w:hAnsi="Tahoma" w:cs="Tahoma"/>
          <w:sz w:val="21"/>
          <w:szCs w:val="21"/>
          <w:lang w:eastAsia="it-IT"/>
        </w:rPr>
      </w:pPr>
      <w:r w:rsidRPr="00C14BC6">
        <w:rPr>
          <w:rFonts w:ascii="Tahoma" w:eastAsia="Times New Roman" w:hAnsi="Tahoma" w:cs="Tahoma"/>
          <w:sz w:val="21"/>
          <w:szCs w:val="21"/>
          <w:lang w:eastAsia="it-IT"/>
        </w:rPr>
        <w:t xml:space="preserve">La sospensione delle attività di cui al codice </w:t>
      </w:r>
      <w:proofErr w:type="spellStart"/>
      <w:r w:rsidRPr="00C14BC6">
        <w:rPr>
          <w:rFonts w:ascii="Tahoma" w:eastAsia="Times New Roman" w:hAnsi="Tahoma" w:cs="Tahoma"/>
          <w:sz w:val="21"/>
          <w:szCs w:val="21"/>
          <w:lang w:eastAsia="it-IT"/>
        </w:rPr>
        <w:t>Ateco</w:t>
      </w:r>
      <w:proofErr w:type="spellEnd"/>
      <w:r w:rsidRPr="00C14BC6">
        <w:rPr>
          <w:rFonts w:ascii="Tahoma" w:eastAsia="Times New Roman" w:hAnsi="Tahoma" w:cs="Tahoma"/>
          <w:sz w:val="21"/>
          <w:szCs w:val="21"/>
          <w:lang w:eastAsia="it-IT"/>
        </w:rPr>
        <w:t xml:space="preserve"> 81.30, e il riferimento a caratteri di emergenza di alcune categorie di lavori, il riferimento alla richiesta di autorizzazioni prefettizie, o la possibilità per codici </w:t>
      </w:r>
      <w:proofErr w:type="spellStart"/>
      <w:r w:rsidRPr="00C14BC6">
        <w:rPr>
          <w:rFonts w:ascii="Tahoma" w:eastAsia="Times New Roman" w:hAnsi="Tahoma" w:cs="Tahoma"/>
          <w:sz w:val="21"/>
          <w:szCs w:val="21"/>
          <w:lang w:eastAsia="it-IT"/>
        </w:rPr>
        <w:t>Ateco</w:t>
      </w:r>
      <w:proofErr w:type="spellEnd"/>
      <w:r w:rsidRPr="00C14BC6">
        <w:rPr>
          <w:rFonts w:ascii="Tahoma" w:eastAsia="Times New Roman" w:hAnsi="Tahoma" w:cs="Tahoma"/>
          <w:sz w:val="21"/>
          <w:szCs w:val="21"/>
          <w:lang w:eastAsia="it-IT"/>
        </w:rPr>
        <w:t xml:space="preserve"> diversi (es. disinfestazione, igienizzazione, </w:t>
      </w:r>
      <w:proofErr w:type="spellStart"/>
      <w:r w:rsidRPr="00C14BC6">
        <w:rPr>
          <w:rFonts w:ascii="Tahoma" w:eastAsia="Times New Roman" w:hAnsi="Tahoma" w:cs="Tahoma"/>
          <w:sz w:val="21"/>
          <w:szCs w:val="21"/>
          <w:lang w:eastAsia="it-IT"/>
        </w:rPr>
        <w:t>ecc</w:t>
      </w:r>
      <w:proofErr w:type="spellEnd"/>
      <w:r w:rsidRPr="00C14BC6">
        <w:rPr>
          <w:rFonts w:ascii="Tahoma" w:eastAsia="Times New Roman" w:hAnsi="Tahoma" w:cs="Tahoma"/>
          <w:sz w:val="21"/>
          <w:szCs w:val="21"/>
          <w:lang w:eastAsia="it-IT"/>
        </w:rPr>
        <w:t>) di poter intervenire, anche in attività di manutenzioni del verde (invece sospese), sta creando, tanto nei lavori privati che in quelli pubblici, forti discrezionalità ed evidenti distorsioni nelle modalità di intervento.</w:t>
      </w:r>
    </w:p>
    <w:p w:rsidR="00C14BC6" w:rsidRPr="00C14BC6" w:rsidRDefault="00C14BC6" w:rsidP="00C14BC6">
      <w:pPr>
        <w:snapToGrid w:val="0"/>
        <w:spacing w:after="120" w:line="276" w:lineRule="auto"/>
        <w:jc w:val="both"/>
        <w:rPr>
          <w:rFonts w:ascii="Tahoma" w:eastAsia="Times New Roman" w:hAnsi="Tahoma" w:cs="Tahoma"/>
          <w:b/>
          <w:bCs/>
          <w:sz w:val="21"/>
          <w:szCs w:val="21"/>
          <w:lang w:eastAsia="it-IT"/>
        </w:rPr>
      </w:pPr>
    </w:p>
    <w:p w:rsidR="00C14BC6" w:rsidRPr="00C14BC6" w:rsidRDefault="00C14BC6" w:rsidP="00C14BC6">
      <w:pPr>
        <w:snapToGrid w:val="0"/>
        <w:spacing w:after="120" w:line="276" w:lineRule="auto"/>
        <w:jc w:val="both"/>
        <w:rPr>
          <w:rFonts w:ascii="Tahoma" w:eastAsia="Times New Roman" w:hAnsi="Tahoma" w:cs="Tahoma"/>
          <w:sz w:val="21"/>
          <w:szCs w:val="21"/>
          <w:lang w:eastAsia="it-IT"/>
        </w:rPr>
      </w:pPr>
      <w:r w:rsidRPr="00C14BC6">
        <w:rPr>
          <w:rFonts w:ascii="Tahoma" w:eastAsia="Times New Roman" w:hAnsi="Tahoma" w:cs="Tahoma"/>
          <w:b/>
          <w:bCs/>
          <w:sz w:val="21"/>
          <w:szCs w:val="21"/>
          <w:lang w:eastAsia="it-IT"/>
        </w:rPr>
        <w:t xml:space="preserve">Io sottoscritto, condivido e sottoscrivo i contenuti sopra evidenziati e, pertanto, autorizzo il trattamento dei dati personali di seguito riportati, in base all’art. 13 del D. </w:t>
      </w:r>
      <w:proofErr w:type="spellStart"/>
      <w:r w:rsidRPr="00C14BC6">
        <w:rPr>
          <w:rFonts w:ascii="Tahoma" w:eastAsia="Times New Roman" w:hAnsi="Tahoma" w:cs="Tahoma"/>
          <w:b/>
          <w:bCs/>
          <w:sz w:val="21"/>
          <w:szCs w:val="21"/>
          <w:lang w:eastAsia="it-IT"/>
        </w:rPr>
        <w:t>Lgs</w:t>
      </w:r>
      <w:proofErr w:type="spellEnd"/>
      <w:r w:rsidRPr="00C14BC6">
        <w:rPr>
          <w:rFonts w:ascii="Tahoma" w:eastAsia="Times New Roman" w:hAnsi="Tahoma" w:cs="Tahoma"/>
          <w:b/>
          <w:bCs/>
          <w:sz w:val="21"/>
          <w:szCs w:val="21"/>
          <w:lang w:eastAsia="it-IT"/>
        </w:rPr>
        <w:t>. 196/2003 e all’art. 13 GDPR 679/16.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1260"/>
        <w:gridCol w:w="1268"/>
        <w:gridCol w:w="1307"/>
        <w:gridCol w:w="1281"/>
        <w:gridCol w:w="1420"/>
        <w:gridCol w:w="1745"/>
      </w:tblGrid>
      <w:tr w:rsidR="00C14BC6" w:rsidRPr="00C14BC6" w:rsidTr="00C14BC6"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C6" w:rsidRPr="00C14BC6" w:rsidRDefault="00C14BC6" w:rsidP="00C14BC6">
            <w:pPr>
              <w:snapToGrid w:val="0"/>
              <w:spacing w:after="120" w:line="276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14BC6"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it-IT"/>
              </w:rPr>
              <w:t> </w:t>
            </w:r>
            <w:r w:rsidRPr="00C14BC6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Nome</w:t>
            </w:r>
            <w:r w:rsidRPr="00C14BC6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14BC6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e Cognome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C6" w:rsidRPr="00C14BC6" w:rsidRDefault="00C14BC6" w:rsidP="00C14BC6">
            <w:pPr>
              <w:snapToGrid w:val="0"/>
              <w:spacing w:after="120" w:line="276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14BC6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Ragione Sociale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C6" w:rsidRPr="00C14BC6" w:rsidRDefault="00C14BC6" w:rsidP="00C14BC6">
            <w:pPr>
              <w:snapToGrid w:val="0"/>
              <w:spacing w:after="120" w:line="276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14BC6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C6" w:rsidRPr="00C14BC6" w:rsidRDefault="00C14BC6" w:rsidP="00C14BC6">
            <w:pPr>
              <w:snapToGrid w:val="0"/>
              <w:spacing w:after="120" w:line="276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14BC6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Provincia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C6" w:rsidRPr="00C14BC6" w:rsidRDefault="00C14BC6" w:rsidP="00C14BC6">
            <w:pPr>
              <w:snapToGrid w:val="0"/>
              <w:spacing w:after="120" w:line="276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14BC6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Indirizzo mail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C6" w:rsidRPr="00C14BC6" w:rsidRDefault="00C14BC6" w:rsidP="00C14BC6">
            <w:pPr>
              <w:snapToGrid w:val="0"/>
              <w:spacing w:after="120" w:line="276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14BC6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Tipo di documento Identità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C6" w:rsidRPr="00C14BC6" w:rsidRDefault="00C14BC6" w:rsidP="00C14BC6">
            <w:pPr>
              <w:snapToGrid w:val="0"/>
              <w:spacing w:after="120" w:line="276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14BC6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Numero documento Identità</w:t>
            </w:r>
          </w:p>
        </w:tc>
      </w:tr>
      <w:tr w:rsidR="00C14BC6" w:rsidRPr="00C14BC6" w:rsidTr="00C14BC6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C6" w:rsidRPr="00C14BC6" w:rsidRDefault="00C14BC6" w:rsidP="00C14BC6">
            <w:pPr>
              <w:snapToGrid w:val="0"/>
              <w:spacing w:after="120" w:line="276" w:lineRule="auto"/>
              <w:jc w:val="both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C6" w:rsidRPr="00C14BC6" w:rsidRDefault="00C14BC6" w:rsidP="00C14BC6">
            <w:pPr>
              <w:snapToGrid w:val="0"/>
              <w:spacing w:after="120" w:line="276" w:lineRule="auto"/>
              <w:jc w:val="both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 w:rsidRPr="00C14BC6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C6" w:rsidRPr="00C14BC6" w:rsidRDefault="00C14BC6" w:rsidP="00C14BC6">
            <w:pPr>
              <w:snapToGrid w:val="0"/>
              <w:spacing w:after="120" w:line="276" w:lineRule="auto"/>
              <w:jc w:val="both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 w:rsidRPr="00C14BC6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C6" w:rsidRPr="00C14BC6" w:rsidRDefault="00C14BC6" w:rsidP="00C14BC6">
            <w:pPr>
              <w:snapToGrid w:val="0"/>
              <w:spacing w:after="120" w:line="276" w:lineRule="auto"/>
              <w:jc w:val="both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  <w:r w:rsidRPr="00C14BC6"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C6" w:rsidRPr="00C14BC6" w:rsidRDefault="00C14BC6" w:rsidP="00C14BC6">
            <w:pPr>
              <w:snapToGrid w:val="0"/>
              <w:spacing w:after="120" w:line="276" w:lineRule="auto"/>
              <w:jc w:val="both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C6" w:rsidRPr="00C14BC6" w:rsidRDefault="00C14BC6" w:rsidP="00C14BC6">
            <w:pPr>
              <w:snapToGrid w:val="0"/>
              <w:spacing w:after="120" w:line="276" w:lineRule="auto"/>
              <w:jc w:val="both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BC6" w:rsidRPr="00C14BC6" w:rsidRDefault="00C14BC6" w:rsidP="00C14BC6">
            <w:pPr>
              <w:snapToGrid w:val="0"/>
              <w:spacing w:after="120" w:line="276" w:lineRule="auto"/>
              <w:jc w:val="both"/>
              <w:rPr>
                <w:rFonts w:ascii="Tahoma" w:eastAsia="Times New Roman" w:hAnsi="Tahoma" w:cs="Tahoma"/>
                <w:sz w:val="22"/>
                <w:szCs w:val="22"/>
                <w:lang w:eastAsia="it-IT"/>
              </w:rPr>
            </w:pPr>
          </w:p>
        </w:tc>
      </w:tr>
    </w:tbl>
    <w:p w:rsidR="00C14BC6" w:rsidRPr="00FE7DF9" w:rsidRDefault="00C14BC6" w:rsidP="00C14BC6">
      <w:pPr>
        <w:snapToGrid w:val="0"/>
        <w:spacing w:after="120" w:line="276" w:lineRule="auto"/>
        <w:jc w:val="both"/>
        <w:rPr>
          <w:rFonts w:ascii="Tahoma" w:eastAsia="Times New Roman" w:hAnsi="Tahoma" w:cs="Tahoma"/>
          <w:sz w:val="22"/>
          <w:szCs w:val="22"/>
          <w:lang w:eastAsia="it-IT"/>
        </w:rPr>
      </w:pPr>
      <w:r w:rsidRPr="00C14BC6">
        <w:rPr>
          <w:rFonts w:ascii="Tahoma" w:eastAsia="Times New Roman" w:hAnsi="Tahoma" w:cs="Tahoma"/>
          <w:sz w:val="22"/>
          <w:szCs w:val="22"/>
          <w:lang w:eastAsia="it-IT"/>
        </w:rPr>
        <w:t> </w:t>
      </w:r>
    </w:p>
    <w:sectPr w:rsidR="00C14BC6" w:rsidRPr="00FE7DF9" w:rsidSect="0041536F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1153" w:rsidRDefault="00CF1153" w:rsidP="00A02D34">
      <w:r>
        <w:separator/>
      </w:r>
    </w:p>
  </w:endnote>
  <w:endnote w:type="continuationSeparator" w:id="0">
    <w:p w:rsidR="00CF1153" w:rsidRDefault="00CF1153" w:rsidP="00A0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1153" w:rsidRDefault="00CF1153" w:rsidP="00A02D34">
      <w:r>
        <w:separator/>
      </w:r>
    </w:p>
  </w:footnote>
  <w:footnote w:type="continuationSeparator" w:id="0">
    <w:p w:rsidR="00CF1153" w:rsidRDefault="00CF1153" w:rsidP="00A02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2D34" w:rsidRDefault="00A02D34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E9E665" wp14:editId="3B3870C1">
          <wp:simplePos x="0" y="0"/>
          <wp:positionH relativeFrom="column">
            <wp:posOffset>-700216</wp:posOffset>
          </wp:positionH>
          <wp:positionV relativeFrom="paragraph">
            <wp:posOffset>-437497</wp:posOffset>
          </wp:positionV>
          <wp:extent cx="7605395" cy="1788795"/>
          <wp:effectExtent l="0" t="0" r="1905" b="0"/>
          <wp:wrapThrough wrapText="bothSides">
            <wp:wrapPolygon edited="0">
              <wp:start x="12119" y="0"/>
              <wp:lineTo x="12805" y="2607"/>
              <wp:lineTo x="13851" y="4907"/>
              <wp:lineTo x="2994" y="6594"/>
              <wp:lineTo x="2994" y="7361"/>
              <wp:lineTo x="1803" y="7821"/>
              <wp:lineTo x="1767" y="8128"/>
              <wp:lineTo x="2128" y="9815"/>
              <wp:lineTo x="2741" y="14722"/>
              <wp:lineTo x="2741" y="16716"/>
              <wp:lineTo x="6817" y="17176"/>
              <wp:lineTo x="21425" y="17176"/>
              <wp:lineTo x="21497" y="18249"/>
              <wp:lineTo x="21569" y="18249"/>
              <wp:lineTo x="21569" y="0"/>
              <wp:lineTo x="12119" y="0"/>
            </wp:wrapPolygon>
          </wp:wrapThrough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178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62C7B"/>
    <w:multiLevelType w:val="hybridMultilevel"/>
    <w:tmpl w:val="59DE1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A572E8"/>
    <w:multiLevelType w:val="hybridMultilevel"/>
    <w:tmpl w:val="0CE89372"/>
    <w:lvl w:ilvl="0" w:tplc="A7F29120">
      <w:numFmt w:val="bullet"/>
      <w:lvlText w:val="·"/>
      <w:lvlJc w:val="left"/>
      <w:pPr>
        <w:ind w:left="1420" w:hanging="70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73576F"/>
    <w:multiLevelType w:val="hybridMultilevel"/>
    <w:tmpl w:val="2AE028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C6"/>
    <w:rsid w:val="0041536F"/>
    <w:rsid w:val="00A02D34"/>
    <w:rsid w:val="00C14BC6"/>
    <w:rsid w:val="00CF1153"/>
    <w:rsid w:val="00FE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261086"/>
  <w15:chartTrackingRefBased/>
  <w15:docId w15:val="{BF042110-BB7D-A84A-91FC-ED338095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14B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14BC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14BC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2D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D34"/>
  </w:style>
  <w:style w:type="paragraph" w:styleId="Pidipagina">
    <w:name w:val="footer"/>
    <w:basedOn w:val="Normale"/>
    <w:link w:val="PidipaginaCarattere"/>
    <w:uiPriority w:val="99"/>
    <w:unhideWhenUsed/>
    <w:rsid w:val="00A02D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0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a@assoverd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Pisanti</dc:creator>
  <cp:keywords/>
  <dc:description/>
  <cp:lastModifiedBy>Stefania Pisanti</cp:lastModifiedBy>
  <cp:revision>2</cp:revision>
  <dcterms:created xsi:type="dcterms:W3CDTF">2020-04-01T14:22:00Z</dcterms:created>
  <dcterms:modified xsi:type="dcterms:W3CDTF">2020-04-01T14:31:00Z</dcterms:modified>
</cp:coreProperties>
</file>