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2D34" w:rsidRDefault="00C14BC6" w:rsidP="00A02D34">
      <w:pPr>
        <w:snapToGrid w:val="0"/>
        <w:spacing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P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er dar seguito ed estendere a tutto il territorio nazionale 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l’iniziativa avviata dalla “cordata ligure”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,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A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ssoverde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consente a tutti coloro che intendano sottoscriverne i contenuti di poterlo fare inoltrando 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questo modulo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all’indirizzo </w:t>
      </w:r>
      <w:hyperlink r:id="rId7" w:tgtFrame="_blank" w:history="1">
        <w:r w:rsidRPr="00C14BC6">
          <w:rPr>
            <w:rFonts w:ascii="Tahoma" w:eastAsia="Times New Roman" w:hAnsi="Tahoma" w:cs="Tahoma"/>
            <w:color w:val="800080"/>
            <w:sz w:val="21"/>
            <w:szCs w:val="21"/>
            <w:u w:val="single"/>
            <w:lang w:eastAsia="it-IT"/>
          </w:rPr>
          <w:t>posta@assoverde.it</w:t>
        </w:r>
      </w:hyperlink>
      <w:r w:rsidRPr="00C14BC6">
        <w:rPr>
          <w:rFonts w:ascii="Tahoma" w:eastAsia="Times New Roman" w:hAnsi="Tahoma" w:cs="Tahoma"/>
          <w:sz w:val="21"/>
          <w:szCs w:val="21"/>
          <w:lang w:eastAsia="it-IT"/>
        </w:rPr>
        <w:t>, 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una volta compilat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o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 xml:space="preserve"> la tabella in basso, con i seguenti dati: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 xml:space="preserve"> 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nome e cognome, ragione sociale, comune, provincia, indirizzo mail, numero del documento d’identità.</w:t>
      </w:r>
      <w:r w:rsidR="00A02D34">
        <w:rPr>
          <w:rFonts w:ascii="Tahoma" w:eastAsia="Times New Roman" w:hAnsi="Tahoma" w:cs="Tahoma"/>
          <w:sz w:val="21"/>
          <w:szCs w:val="21"/>
          <w:lang w:eastAsia="it-IT"/>
        </w:rPr>
        <w:t xml:space="preserve"> </w:t>
      </w:r>
    </w:p>
    <w:p w:rsidR="00C14BC6" w:rsidRPr="00C14BC6" w:rsidRDefault="00C14BC6" w:rsidP="00A02D34">
      <w:pPr>
        <w:snapToGrid w:val="0"/>
        <w:spacing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Si evidenzia che 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 xml:space="preserve">la sottoscrizione autorizza </w:t>
      </w:r>
      <w:proofErr w:type="spellStart"/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Assoverde</w:t>
      </w:r>
      <w:proofErr w:type="spellEnd"/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 xml:space="preserve"> all’utilizzo dei dati personali forniti dal sottoscrittore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.</w:t>
      </w:r>
    </w:p>
    <w:p w:rsidR="00C14BC6" w:rsidRPr="00C14BC6" w:rsidRDefault="00C14BC6" w:rsidP="00A02D34">
      <w:pPr>
        <w:snapToGrid w:val="0"/>
        <w:spacing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L’iniziativa è </w:t>
      </w: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aperta a tutti gli operatori del verde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, anche non iscritti ad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Assoverde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. </w:t>
      </w:r>
    </w:p>
    <w:p w:rsidR="00C14BC6" w:rsidRPr="00C14BC6" w:rsidRDefault="00C14BC6" w:rsidP="00C14BC6">
      <w:pPr>
        <w:snapToGrid w:val="0"/>
        <w:spacing w:after="120"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Le sottoscrizioni dovranno pervenire ad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Assoverde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 </w:t>
      </w:r>
      <w:r w:rsidRPr="00C14BC6">
        <w:rPr>
          <w:rFonts w:ascii="Tahoma" w:eastAsia="Times New Roman" w:hAnsi="Tahoma" w:cs="Tahoma"/>
          <w:b/>
          <w:bCs/>
          <w:sz w:val="21"/>
          <w:szCs w:val="21"/>
          <w:u w:val="single"/>
          <w:lang w:eastAsia="it-IT"/>
        </w:rPr>
        <w:t>entro le ore 12,00 del 3 aprile 2020</w:t>
      </w: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, in modo da consentirne l’organizzazione all’interno di un documento unico che sarà inoltrato agli organi competenti.    </w:t>
      </w:r>
    </w:p>
    <w:p w:rsidR="00C14BC6" w:rsidRPr="00C14BC6" w:rsidRDefault="00C14BC6" w:rsidP="00A02D34">
      <w:pPr>
        <w:snapToGrid w:val="0"/>
        <w:spacing w:after="60"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I contenuti, di cui si conferma la condivisione attraverso la sottoscrizione della presente comunicazione, sono i seguenti:  </w:t>
      </w:r>
    </w:p>
    <w:p w:rsidR="00C14BC6" w:rsidRPr="00C14BC6" w:rsidRDefault="00C14BC6" w:rsidP="00A02D34">
      <w:pPr>
        <w:pStyle w:val="Paragrafoelenco"/>
        <w:numPr>
          <w:ilvl w:val="0"/>
          <w:numId w:val="3"/>
        </w:numPr>
        <w:snapToGrid w:val="0"/>
        <w:spacing w:after="60" w:line="276" w:lineRule="auto"/>
        <w:ind w:left="567" w:hanging="35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Il lavoro del manutentore del verde - di cui al codice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Ateco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81.30 - viene normalmente svolto mantenendo distanze di gran lunga superiori a quelle imposte dal distanziamento sociale (10 metri e oltre): vuoi per la tipologia di comprensori in cui si opera oppure per la caratteristica delle imprese coinvolte, spesso società individuali o con ridottissimo numero di dipendenti.      </w:t>
      </w:r>
    </w:p>
    <w:p w:rsidR="00C14BC6" w:rsidRPr="00C14BC6" w:rsidRDefault="00C14BC6" w:rsidP="00A02D34">
      <w:pPr>
        <w:pStyle w:val="Paragrafoelenco"/>
        <w:numPr>
          <w:ilvl w:val="0"/>
          <w:numId w:val="3"/>
        </w:numPr>
        <w:snapToGrid w:val="0"/>
        <w:spacing w:after="60" w:line="276" w:lineRule="auto"/>
        <w:ind w:left="567" w:hanging="35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In talune zone gli operatori del verde costituiscono un presidio sul territorio contro l’abbandono e il dissesto idrogeologico per tutti i possessori di fasce terrazzate, seconde o terze case, che spesso vedono in tale categoria un riferimento, specie in questo periodo di forzata e prolungata assenza.</w:t>
      </w:r>
    </w:p>
    <w:p w:rsidR="00C14BC6" w:rsidRPr="00C14BC6" w:rsidRDefault="00C14BC6" w:rsidP="00A02D34">
      <w:pPr>
        <w:pStyle w:val="Paragrafoelenco"/>
        <w:numPr>
          <w:ilvl w:val="0"/>
          <w:numId w:val="3"/>
        </w:numPr>
        <w:snapToGrid w:val="0"/>
        <w:spacing w:after="60" w:line="276" w:lineRule="auto"/>
        <w:ind w:left="567" w:hanging="35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La possibilità di lavorare, eventualmente in unità singole, rispettando tutte le norme previste dal Protocollo del 14 marzo 2020, con orari ridotti e programmazione oculata dei dipendenti, consentirebbe di ridurre il ricorso a misure integrative, e di conseguenza l’impatto sulla finanza, liberando maggiori risorse per le categorie realmente impossibilitate a lavorare;</w:t>
      </w:r>
    </w:p>
    <w:p w:rsidR="00C14BC6" w:rsidRPr="00C14BC6" w:rsidRDefault="00C14BC6" w:rsidP="00A02D34">
      <w:pPr>
        <w:pStyle w:val="Paragrafoelenco"/>
        <w:numPr>
          <w:ilvl w:val="0"/>
          <w:numId w:val="3"/>
        </w:numPr>
        <w:snapToGrid w:val="0"/>
        <w:spacing w:after="60" w:line="276" w:lineRule="auto"/>
        <w:ind w:left="567" w:hanging="35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>Di contro, la sospensione delle attività in questo cruciale periodo della stagione porterebbe all'inevitabile definitiva chiusura di molte realtà lavorative, spesso composte da ditte individuali con risorse limitate;</w:t>
      </w:r>
    </w:p>
    <w:p w:rsidR="00C14BC6" w:rsidRPr="00C14BC6" w:rsidRDefault="00C14BC6" w:rsidP="00A02D34">
      <w:pPr>
        <w:pStyle w:val="Paragrafoelenco"/>
        <w:numPr>
          <w:ilvl w:val="0"/>
          <w:numId w:val="3"/>
        </w:numPr>
        <w:snapToGrid w:val="0"/>
        <w:spacing w:after="60" w:line="276" w:lineRule="auto"/>
        <w:ind w:left="567" w:hanging="357"/>
        <w:contextualSpacing w:val="0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La sospensione delle attività di cui al codice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Ateco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81.30, e il riferimento a caratteri di emergenza di alcune categorie di lavori, il riferimento alla richiesta di autorizzazioni prefettizie, o la possibilità per codici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Ateco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 xml:space="preserve"> diversi (es. disinfestazione, igienizzazione, </w:t>
      </w:r>
      <w:proofErr w:type="spellStart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ecc</w:t>
      </w:r>
      <w:proofErr w:type="spellEnd"/>
      <w:r w:rsidRPr="00C14BC6">
        <w:rPr>
          <w:rFonts w:ascii="Tahoma" w:eastAsia="Times New Roman" w:hAnsi="Tahoma" w:cs="Tahoma"/>
          <w:sz w:val="21"/>
          <w:szCs w:val="21"/>
          <w:lang w:eastAsia="it-IT"/>
        </w:rPr>
        <w:t>) di poter intervenire, anche in attività di manutenzioni del verde (invece sospese), sta creando, tanto nei lavori privati che in quelli pubblici, forti discrezionalità ed evidenti distorsioni nelle modalità di intervento.</w:t>
      </w:r>
    </w:p>
    <w:p w:rsidR="00C14BC6" w:rsidRPr="00C14BC6" w:rsidRDefault="00C14BC6" w:rsidP="00C14BC6">
      <w:pPr>
        <w:snapToGrid w:val="0"/>
        <w:spacing w:after="120" w:line="276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it-IT"/>
        </w:rPr>
      </w:pPr>
    </w:p>
    <w:p w:rsidR="00C14BC6" w:rsidRPr="00C14BC6" w:rsidRDefault="00C14BC6" w:rsidP="00C14BC6">
      <w:pPr>
        <w:snapToGrid w:val="0"/>
        <w:spacing w:after="120" w:line="276" w:lineRule="auto"/>
        <w:jc w:val="both"/>
        <w:rPr>
          <w:rFonts w:ascii="Tahoma" w:eastAsia="Times New Roman" w:hAnsi="Tahoma" w:cs="Tahoma"/>
          <w:sz w:val="21"/>
          <w:szCs w:val="21"/>
          <w:lang w:eastAsia="it-IT"/>
        </w:rPr>
      </w:pPr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 xml:space="preserve">Io sottoscritto, condivido e sottoscrivo i contenuti sopra evidenziati e, pertanto, autorizzo il trattamento dei dati personali di seguito riportati, in base all’art. 13 del D. </w:t>
      </w:r>
      <w:proofErr w:type="spellStart"/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Lgs</w:t>
      </w:r>
      <w:proofErr w:type="spellEnd"/>
      <w:r w:rsidRPr="00C14BC6">
        <w:rPr>
          <w:rFonts w:ascii="Tahoma" w:eastAsia="Times New Roman" w:hAnsi="Tahoma" w:cs="Tahoma"/>
          <w:b/>
          <w:bCs/>
          <w:sz w:val="21"/>
          <w:szCs w:val="21"/>
          <w:lang w:eastAsia="it-IT"/>
        </w:rPr>
        <w:t>. 196/2003 e all’art. 13 GDPR 679/16.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260"/>
        <w:gridCol w:w="1268"/>
        <w:gridCol w:w="1307"/>
        <w:gridCol w:w="1281"/>
        <w:gridCol w:w="1420"/>
        <w:gridCol w:w="1745"/>
      </w:tblGrid>
      <w:tr w:rsidR="00C14BC6" w:rsidRPr="00C14BC6" w:rsidTr="00C14BC6"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b/>
                <w:bCs/>
                <w:sz w:val="22"/>
                <w:szCs w:val="22"/>
                <w:lang w:eastAsia="it-IT"/>
              </w:rPr>
              <w:t> </w:t>
            </w: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Nome</w:t>
            </w: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 xml:space="preserve"> </w:t>
            </w: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e Cognome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Ragione Sociale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Provincia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Indirizzo mail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Tipo di documento Identità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18"/>
                <w:szCs w:val="18"/>
                <w:lang w:eastAsia="it-IT"/>
              </w:rPr>
              <w:t>Numero documento Identità</w:t>
            </w:r>
          </w:p>
        </w:tc>
      </w:tr>
      <w:tr w:rsidR="00C14BC6" w:rsidRPr="00C14BC6" w:rsidTr="00C14BC6">
        <w:tc>
          <w:tcPr>
            <w:tcW w:w="1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  <w:r w:rsidRPr="00C14BC6"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BC6" w:rsidRPr="00C14BC6" w:rsidRDefault="00C14BC6" w:rsidP="00C14BC6">
            <w:pPr>
              <w:snapToGrid w:val="0"/>
              <w:spacing w:after="120" w:line="276" w:lineRule="auto"/>
              <w:jc w:val="both"/>
              <w:rPr>
                <w:rFonts w:ascii="Tahoma" w:eastAsia="Times New Roman" w:hAnsi="Tahoma" w:cs="Tahoma"/>
                <w:sz w:val="22"/>
                <w:szCs w:val="22"/>
                <w:lang w:eastAsia="it-IT"/>
              </w:rPr>
            </w:pPr>
          </w:p>
        </w:tc>
      </w:tr>
    </w:tbl>
    <w:p w:rsidR="00C14BC6" w:rsidRPr="00FE7DF9" w:rsidRDefault="00C14BC6" w:rsidP="00C14BC6">
      <w:pPr>
        <w:snapToGrid w:val="0"/>
        <w:spacing w:after="120" w:line="276" w:lineRule="auto"/>
        <w:jc w:val="both"/>
        <w:rPr>
          <w:rFonts w:ascii="Tahoma" w:eastAsia="Times New Roman" w:hAnsi="Tahoma" w:cs="Tahoma"/>
          <w:sz w:val="22"/>
          <w:szCs w:val="22"/>
          <w:lang w:eastAsia="it-IT"/>
        </w:rPr>
      </w:pPr>
      <w:r w:rsidRPr="00C14BC6">
        <w:rPr>
          <w:rFonts w:ascii="Tahoma" w:eastAsia="Times New Roman" w:hAnsi="Tahoma" w:cs="Tahoma"/>
          <w:sz w:val="22"/>
          <w:szCs w:val="22"/>
          <w:lang w:eastAsia="it-IT"/>
        </w:rPr>
        <w:t> </w:t>
      </w:r>
    </w:p>
    <w:sectPr w:rsidR="00C14BC6" w:rsidRPr="00FE7DF9" w:rsidSect="0041536F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1153" w:rsidRDefault="00CF1153" w:rsidP="00A02D34">
      <w:r>
        <w:separator/>
      </w:r>
    </w:p>
  </w:endnote>
  <w:endnote w:type="continuationSeparator" w:id="0">
    <w:p w:rsidR="00CF1153" w:rsidRDefault="00CF1153" w:rsidP="00A0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1153" w:rsidRDefault="00CF1153" w:rsidP="00A02D34">
      <w:r>
        <w:separator/>
      </w:r>
    </w:p>
  </w:footnote>
  <w:footnote w:type="continuationSeparator" w:id="0">
    <w:p w:rsidR="00CF1153" w:rsidRDefault="00CF1153" w:rsidP="00A0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02D34" w:rsidRDefault="00A02D3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E9E665" wp14:editId="3B3870C1">
          <wp:simplePos x="0" y="0"/>
          <wp:positionH relativeFrom="column">
            <wp:posOffset>-700216</wp:posOffset>
          </wp:positionH>
          <wp:positionV relativeFrom="paragraph">
            <wp:posOffset>-437497</wp:posOffset>
          </wp:positionV>
          <wp:extent cx="7605395" cy="1788795"/>
          <wp:effectExtent l="0" t="0" r="1905" b="0"/>
          <wp:wrapThrough wrapText="bothSides">
            <wp:wrapPolygon edited="0">
              <wp:start x="12119" y="0"/>
              <wp:lineTo x="12805" y="2607"/>
              <wp:lineTo x="13851" y="4907"/>
              <wp:lineTo x="2994" y="6594"/>
              <wp:lineTo x="2994" y="7361"/>
              <wp:lineTo x="1803" y="7821"/>
              <wp:lineTo x="1767" y="8128"/>
              <wp:lineTo x="2128" y="9815"/>
              <wp:lineTo x="2741" y="14722"/>
              <wp:lineTo x="2741" y="16716"/>
              <wp:lineTo x="6817" y="17176"/>
              <wp:lineTo x="21425" y="17176"/>
              <wp:lineTo x="21497" y="18249"/>
              <wp:lineTo x="21569" y="18249"/>
              <wp:lineTo x="21569" y="0"/>
              <wp:lineTo x="12119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62C7B"/>
    <w:multiLevelType w:val="hybridMultilevel"/>
    <w:tmpl w:val="59DE19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A572E8"/>
    <w:multiLevelType w:val="hybridMultilevel"/>
    <w:tmpl w:val="0CE89372"/>
    <w:lvl w:ilvl="0" w:tplc="A7F29120">
      <w:numFmt w:val="bullet"/>
      <w:lvlText w:val="·"/>
      <w:lvlJc w:val="left"/>
      <w:pPr>
        <w:ind w:left="1420" w:hanging="70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473576F"/>
    <w:multiLevelType w:val="hybridMultilevel"/>
    <w:tmpl w:val="2AE028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C6"/>
    <w:rsid w:val="0041536F"/>
    <w:rsid w:val="00A02D34"/>
    <w:rsid w:val="00C14BC6"/>
    <w:rsid w:val="00CF1153"/>
    <w:rsid w:val="00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261086"/>
  <w15:chartTrackingRefBased/>
  <w15:docId w15:val="{BF042110-BB7D-A84A-91FC-ED33809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4B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14BC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4B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D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D34"/>
  </w:style>
  <w:style w:type="paragraph" w:styleId="Pidipagina">
    <w:name w:val="footer"/>
    <w:basedOn w:val="Normale"/>
    <w:link w:val="PidipaginaCarattere"/>
    <w:uiPriority w:val="99"/>
    <w:unhideWhenUsed/>
    <w:rsid w:val="00A02D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a@assover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Pisanti</dc:creator>
  <cp:keywords/>
  <dc:description/>
  <cp:lastModifiedBy>Stefania Pisanti</cp:lastModifiedBy>
  <cp:revision>2</cp:revision>
  <dcterms:created xsi:type="dcterms:W3CDTF">2020-04-01T14:22:00Z</dcterms:created>
  <dcterms:modified xsi:type="dcterms:W3CDTF">2020-04-01T14:31:00Z</dcterms:modified>
</cp:coreProperties>
</file>